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8"/>
        <w:jc w:val="both"/>
        <w:tabs>
          <w:tab w:val="clear" w:pos="708" w:leader="none"/>
          <w:tab w:val="left" w:pos="720" w:leader="none"/>
        </w:tabs>
      </w:pPr>
      <w:r/>
      <w:r/>
    </w:p>
    <w:p>
      <w:pPr>
        <w:pStyle w:val="598"/>
        <w:jc w:val="both"/>
        <w:tabs>
          <w:tab w:val="clear" w:pos="708" w:leader="none"/>
          <w:tab w:val="left" w:pos="720" w:leader="none"/>
        </w:tabs>
      </w:pPr>
      <w:r/>
      <w:r/>
    </w:p>
    <w:p>
      <w:pPr>
        <w:pStyle w:val="598"/>
        <w:ind w:firstLine="698"/>
        <w:jc w:val="right"/>
        <w:widowControl/>
        <w:rPr>
          <w:rFonts w:eastAsia="Times New Roman"/>
          <w:lang w:eastAsia="ru-RU"/>
        </w:rPr>
      </w:pPr>
      <w:r>
        <w:rPr>
          <w:rFonts w:eastAsia="Times New Roman"/>
          <w:bCs/>
          <w:lang w:eastAsia="ru-RU"/>
        </w:rPr>
        <w:t xml:space="preserve">Форма 9г-2</w:t>
      </w:r>
      <w:r/>
    </w:p>
    <w:p>
      <w:pPr>
        <w:pStyle w:val="598"/>
        <w:numPr>
          <w:ilvl w:val="0"/>
          <w:numId w:val="0"/>
        </w:numPr>
        <w:jc w:val="center"/>
        <w:spacing w:before="108" w:after="108"/>
        <w:widowControl/>
        <w:rPr>
          <w:rFonts w:eastAsia="Times New Roman"/>
          <w:bCs/>
          <w:lang w:eastAsia="ru-RU"/>
        </w:rPr>
        <w:outlineLvl w:val="0"/>
      </w:pPr>
      <w:r>
        <w:rPr>
          <w:rFonts w:eastAsia="Times New Roman"/>
          <w:bCs/>
          <w:lang w:eastAsia="ru-RU"/>
        </w:rPr>
        <w:t xml:space="preserve">Информация</w:t>
      </w:r>
      <w:r>
        <w:rPr>
          <w:rFonts w:eastAsia="Times New Roman"/>
          <w:bCs/>
          <w:lang w:eastAsia="ru-RU"/>
        </w:rPr>
        <w:br w:type="textWrapping" w:clear="all"/>
      </w:r>
      <w:r>
        <w:rPr>
          <w:rFonts w:eastAsia="Times New Roman"/>
          <w:bCs/>
          <w:lang w:eastAsia="ru-RU"/>
        </w:rPr>
        <w:t xml:space="preserve">о регистрации и ходе реализации заявок на подключение (технологическое присоединение) к инфраструктуре</w:t>
      </w:r>
      <w:r>
        <w:rPr>
          <w:rFonts w:eastAsia="Times New Roman"/>
          <w:bCs/>
          <w:lang w:eastAsia="ru-RU"/>
        </w:rPr>
        <w:br w:type="textWrapping" w:clear="all"/>
      </w:r>
      <w:r>
        <w:rPr>
          <w:rFonts w:eastAsia="Times New Roman"/>
          <w:bCs/>
          <w:lang w:eastAsia="ru-RU"/>
        </w:rPr>
        <w:t xml:space="preserve">субъектов естественных монополий, осуществляющих деятельность в сфере услуг в аэропортах</w:t>
      </w:r>
      <w:r/>
    </w:p>
    <w:p>
      <w:pPr>
        <w:pStyle w:val="598"/>
        <w:numPr>
          <w:ilvl w:val="0"/>
          <w:numId w:val="0"/>
        </w:numPr>
        <w:jc w:val="center"/>
        <w:spacing w:before="108" w:after="108"/>
        <w:widowControl/>
        <w:rPr>
          <w:rFonts w:eastAsia="Times New Roman"/>
          <w:b/>
          <w:bCs/>
          <w:lang w:eastAsia="ru-RU"/>
        </w:rPr>
        <w:outlineLvl w:val="0"/>
      </w:pPr>
      <w:r>
        <w:rPr>
          <w:rFonts w:eastAsia="Times New Roman"/>
          <w:b/>
          <w:bCs/>
          <w:lang w:eastAsia="ru-RU"/>
        </w:rPr>
      </w:r>
      <w:r/>
    </w:p>
    <w:p>
      <w:pPr>
        <w:pStyle w:val="598"/>
      </w:pPr>
      <w:r>
        <w:t xml:space="preserve">предоставляемые: АО «Аэропорт Абакан»</w:t>
      </w:r>
      <w:r/>
    </w:p>
    <w:p>
      <w:pPr>
        <w:pStyle w:val="598"/>
      </w:pPr>
      <w:r>
        <w:t xml:space="preserve">на территории: аэропорт Абакан</w:t>
      </w:r>
      <w:r/>
    </w:p>
    <w:p>
      <w:pPr>
        <w:pStyle w:val="598"/>
      </w:pPr>
      <w:r>
        <w:t xml:space="preserve">за период:  27.03.2022 - 29.10.202 (лето)</w:t>
      </w:r>
      <w:r/>
    </w:p>
    <w:p>
      <w:pPr>
        <w:pStyle w:val="598"/>
      </w:pPr>
      <w:r>
        <w:t xml:space="preserve">сведения о юридическом лице: АО «Аэропорт Абакан», 655131, Республика Хакасия, г. Абакан, пр. Дружбы Народов д.59 литера АА1А2А3</w:t>
      </w:r>
      <w:r/>
    </w:p>
    <w:p>
      <w:pPr>
        <w:pStyle w:val="598"/>
        <w:rPr>
          <w:lang w:val="en-US"/>
        </w:rPr>
      </w:pPr>
      <w:r>
        <w:t xml:space="preserve">Генеральный директор Рожнов В.В., тел. </w:t>
      </w:r>
      <w:r>
        <w:rPr>
          <w:lang w:val="en-US"/>
        </w:rPr>
        <w:t xml:space="preserve">(3902) 28-20-01, </w:t>
      </w:r>
      <w:r>
        <w:t xml:space="preserve">факс</w:t>
      </w:r>
      <w:r>
        <w:rPr>
          <w:lang w:val="en-US"/>
        </w:rPr>
        <w:t xml:space="preserve"> (3902) 28-28-45, e-mail: info@abakan.aero</w:t>
      </w:r>
      <w:r/>
    </w:p>
    <w:p>
      <w:pPr>
        <w:pStyle w:val="598"/>
        <w:jc w:val="both"/>
        <w:widowControl/>
        <w:rPr>
          <w:rFonts w:eastAsia="Times New Roman"/>
          <w:b/>
          <w:lang w:val="en-US" w:eastAsia="ru-RU"/>
        </w:rPr>
      </w:pPr>
      <w:r>
        <w:rPr>
          <w:rFonts w:eastAsia="Times New Roman"/>
          <w:b/>
          <w:lang w:val="en-US" w:eastAsia="ru-RU"/>
        </w:rPr>
      </w:r>
      <w:r/>
    </w:p>
    <w:tbl>
      <w:tblPr>
        <w:tblW w:w="14601" w:type="dxa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75"/>
        <w:gridCol w:w="3666"/>
        <w:gridCol w:w="2189"/>
        <w:gridCol w:w="2371"/>
        <w:gridCol w:w="1914"/>
        <w:gridCol w:w="1984"/>
        <w:gridCol w:w="1701"/>
      </w:tblGrid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75" w:type="dxa"/>
            <w:textDirection w:val="lrTb"/>
            <w:noWrap w:val="false"/>
          </w:tcPr>
          <w:p>
            <w:pPr>
              <w:pStyle w:val="598"/>
              <w:jc w:val="center"/>
              <w:widowControl w:val="off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№</w:t>
            </w:r>
            <w:r/>
          </w:p>
          <w:p>
            <w:pPr>
              <w:pStyle w:val="598"/>
              <w:jc w:val="center"/>
              <w:widowControl w:val="off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666" w:type="dxa"/>
            <w:textDirection w:val="lrTb"/>
            <w:noWrap w:val="false"/>
          </w:tcPr>
          <w:p>
            <w:pPr>
              <w:pStyle w:val="598"/>
              <w:jc w:val="center"/>
              <w:widowControl w:val="off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 xml:space="preserve">Объект инфраструктуры субъекта естественной монополии (местонахождение, краткое описание объекта)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89" w:type="dxa"/>
            <w:textDirection w:val="lrTb"/>
            <w:noWrap w:val="false"/>
          </w:tcPr>
          <w:p>
            <w:pPr>
              <w:pStyle w:val="598"/>
              <w:jc w:val="center"/>
              <w:widowControl w:val="off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 xml:space="preserve">Количество поданных заявок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371" w:type="dxa"/>
            <w:textDirection w:val="lrTb"/>
            <w:noWrap w:val="false"/>
          </w:tcPr>
          <w:p>
            <w:pPr>
              <w:pStyle w:val="598"/>
              <w:jc w:val="center"/>
              <w:widowControl w:val="off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 xml:space="preserve">Количество зарегистрированных заявок (внесенных в реестр заявок)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14" w:type="dxa"/>
            <w:textDirection w:val="lrTb"/>
            <w:noWrap w:val="false"/>
          </w:tcPr>
          <w:p>
            <w:pPr>
              <w:pStyle w:val="598"/>
              <w:jc w:val="center"/>
              <w:widowControl w:val="off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 xml:space="preserve">Количество исполненных заявок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598"/>
              <w:jc w:val="center"/>
              <w:widowControl w:val="off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 xml:space="preserve">Количество заявок, по которым принято решение об отказе (или об аннулировании заявки), с детализацией оснований отказа (*)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598"/>
              <w:jc w:val="center"/>
              <w:widowControl w:val="off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 xml:space="preserve">Количество заявок, находящихся на рассмотрении</w:t>
            </w:r>
            <w:r/>
          </w:p>
          <w:p>
            <w:pPr>
              <w:pStyle w:val="598"/>
              <w:jc w:val="center"/>
              <w:widowControl w:val="off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 xml:space="preserve">(с учетом данных  прошедшего сезона)</w:t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5" w:type="dxa"/>
            <w:textDirection w:val="lrTb"/>
            <w:noWrap w:val="false"/>
          </w:tcPr>
          <w:p>
            <w:pPr>
              <w:pStyle w:val="598"/>
              <w:jc w:val="center"/>
              <w:widowControl w:val="off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66" w:type="dxa"/>
            <w:textDirection w:val="lrTb"/>
            <w:noWrap w:val="false"/>
          </w:tcPr>
          <w:p>
            <w:pPr>
              <w:pStyle w:val="598"/>
              <w:jc w:val="center"/>
              <w:widowControl w:val="off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9" w:type="dxa"/>
            <w:textDirection w:val="lrTb"/>
            <w:noWrap w:val="false"/>
          </w:tcPr>
          <w:p>
            <w:pPr>
              <w:pStyle w:val="598"/>
              <w:jc w:val="center"/>
              <w:widowControl w:val="off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71" w:type="dxa"/>
            <w:textDirection w:val="lrTb"/>
            <w:noWrap w:val="false"/>
          </w:tcPr>
          <w:p>
            <w:pPr>
              <w:pStyle w:val="598"/>
              <w:jc w:val="center"/>
              <w:widowControl w:val="off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4" w:type="dxa"/>
            <w:textDirection w:val="lrTb"/>
            <w:noWrap w:val="false"/>
          </w:tcPr>
          <w:p>
            <w:pPr>
              <w:pStyle w:val="598"/>
              <w:jc w:val="center"/>
              <w:widowControl w:val="off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598"/>
              <w:jc w:val="center"/>
              <w:widowControl w:val="off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598"/>
              <w:jc w:val="center"/>
              <w:widowControl w:val="off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7</w:t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5" w:type="dxa"/>
            <w:textDirection w:val="lrTb"/>
            <w:noWrap w:val="false"/>
          </w:tcPr>
          <w:p>
            <w:pPr>
              <w:pStyle w:val="598"/>
              <w:jc w:val="center"/>
              <w:widowControl w:val="off"/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66" w:type="dxa"/>
            <w:textDirection w:val="lrTb"/>
            <w:noWrap w:val="false"/>
          </w:tcPr>
          <w:p>
            <w:pPr>
              <w:pStyle w:val="598"/>
              <w:widowControl w:val="off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АО «Аэропорт Абакан»</w:t>
            </w:r>
            <w:r/>
          </w:p>
          <w:p>
            <w:pPr>
              <w:pStyle w:val="598"/>
              <w:widowControl w:val="off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Местоположение: Российская Федерация, Республика Хакасия.</w:t>
            </w:r>
            <w:r/>
          </w:p>
          <w:p>
            <w:pPr>
              <w:pStyle w:val="598"/>
              <w:widowControl w:val="off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Имеет одну взлетно-посадочную полосу ИВПП 3250м х 45м.</w:t>
            </w:r>
            <w:r/>
          </w:p>
          <w:p>
            <w:pPr>
              <w:pStyle w:val="598"/>
              <w:widowControl w:val="off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Общая площадь перрона – 7,4 га</w:t>
            </w:r>
            <w:r/>
          </w:p>
          <w:p>
            <w:pPr>
              <w:pStyle w:val="598"/>
              <w:widowControl w:val="off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Установленное радиотехническое и светосигнальное оборудование, средства УВД обеспечивают производство посадки самолетов в условиях метеоминимума</w:t>
            </w:r>
            <w:r/>
          </w:p>
          <w:p>
            <w:pPr>
              <w:pStyle w:val="598"/>
              <w:widowControl w:val="off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60 х 800 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9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eastAsia="Times New Roman"/>
                <w:shd w:val="clear" w:color="auto" w:fill="ffffff"/>
                <w:lang w:eastAsia="ru-RU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71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eastAsia="Times New Roman"/>
                <w:shd w:val="clear" w:color="auto" w:fill="ffffff"/>
                <w:lang w:eastAsia="ru-RU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4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eastAsia="Times New Roman"/>
                <w:shd w:val="clear" w:color="auto" w:fill="ffffff"/>
                <w:lang w:eastAsia="ru-RU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eastAsia="Times New Roman"/>
                <w:shd w:val="clear" w:color="auto" w:fill="ffffff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eastAsia="Times New Roman"/>
                <w:shd w:val="clear" w:color="auto" w:fill="ffffff"/>
                <w:lang w:eastAsia="ru-RU"/>
              </w:rPr>
              <w:t xml:space="preserve">0</w:t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5" w:type="dxa"/>
            <w:textDirection w:val="lrTb"/>
            <w:noWrap w:val="false"/>
          </w:tcPr>
          <w:p>
            <w:pPr>
              <w:pStyle w:val="598"/>
              <w:jc w:val="center"/>
              <w:widowControl w:val="off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</w:r>
            <w:r/>
          </w:p>
          <w:p>
            <w:pPr>
              <w:pStyle w:val="598"/>
              <w:jc w:val="center"/>
              <w:widowControl w:val="off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66" w:type="dxa"/>
            <w:textDirection w:val="lrTb"/>
            <w:noWrap w:val="false"/>
          </w:tcPr>
          <w:p>
            <w:pPr>
              <w:pStyle w:val="598"/>
              <w:widowControl w:val="off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</w:rPr>
              <w:t xml:space="preserve">АО «Аэропорт Абакан»</w:t>
            </w:r>
            <w:r/>
          </w:p>
          <w:p>
            <w:pPr>
              <w:pStyle w:val="598"/>
              <w:widowControl w:val="off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 xml:space="preserve">Служба ЭСТОП (служба светотехнического обеспечения полетов).</w:t>
            </w:r>
            <w:r/>
          </w:p>
          <w:p>
            <w:pPr>
              <w:pStyle w:val="598"/>
              <w:widowControl w:val="off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 xml:space="preserve">Сфера деятельности: централизованное электроснабжение объектов аэропорта;</w:t>
            </w:r>
            <w:r/>
          </w:p>
          <w:p>
            <w:pPr>
              <w:pStyle w:val="598"/>
              <w:widowControl w:val="off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 xml:space="preserve">техническая эксплуатация электроустановок, кабельных и воздушных линий;</w:t>
            </w:r>
            <w:r/>
          </w:p>
          <w:p>
            <w:pPr>
              <w:pStyle w:val="598"/>
              <w:widowControl w:val="off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rFonts w:eastAsia="Times New Roman"/>
                <w:sz w:val="23"/>
                <w:szCs w:val="23"/>
                <w:lang w:eastAsia="ru-RU"/>
              </w:rPr>
              <w:t xml:space="preserve">техническая эксплуатация системы светосигнального оборудования.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9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widowControl w:val="off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  <w:lang w:eastAsia="ru-RU"/>
              </w:rPr>
              <w:t xml:space="preserve">0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71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widowControl w:val="off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  <w:lang w:eastAsia="ru-RU"/>
              </w:rPr>
              <w:t xml:space="preserve">0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4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widowControl w:val="off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  <w:lang w:eastAsia="ru-RU"/>
              </w:rPr>
              <w:t xml:space="preserve">0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widowControl w:val="off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  <w:lang w:eastAsia="ru-RU"/>
              </w:rPr>
              <w:t xml:space="preserve">0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widowControl w:val="off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598"/>
              <w:jc w:val="center"/>
              <w:widowControl w:val="off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  <w:lang w:eastAsia="ru-RU"/>
              </w:rPr>
              <w:t xml:space="preserve">0</w:t>
            </w:r>
            <w:r>
              <w:rPr>
                <w:highlight w:val="white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5" w:type="dxa"/>
            <w:textDirection w:val="lrTb"/>
            <w:noWrap w:val="false"/>
          </w:tcPr>
          <w:p>
            <w:pPr>
              <w:pStyle w:val="598"/>
              <w:jc w:val="center"/>
              <w:widowControl w:val="off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66" w:type="dxa"/>
            <w:textDirection w:val="lrTb"/>
            <w:noWrap w:val="false"/>
          </w:tcPr>
          <w:p>
            <w:pPr>
              <w:pStyle w:val="598"/>
              <w:widowControl w:val="off"/>
              <w:rPr>
                <w:rFonts w:eastAsia="Times New Roman"/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</w:rPr>
              <w:t xml:space="preserve">АО «Аэропорт Абакан»</w:t>
            </w:r>
            <w:r/>
          </w:p>
          <w:p>
            <w:pPr>
              <w:pStyle w:val="598"/>
              <w:widowControl w:val="off"/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Служба ТиСТО (служба тепло- и санитарно-технического обеспечения).</w:t>
            </w:r>
            <w:r/>
          </w:p>
          <w:p>
            <w:pPr>
              <w:pStyle w:val="598"/>
              <w:widowControl w:val="off"/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Сфера деятельности: централизованное отопление, водоснабжение и водоотведение;</w:t>
            </w:r>
            <w:r/>
          </w:p>
          <w:p>
            <w:pPr>
              <w:pStyle w:val="598"/>
              <w:widowControl w:val="off"/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техническая эксплуатация систем отопления, водоснабжения и канализации.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9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widowControl w:val="off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71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widowControl w:val="off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4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widowControl w:val="off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widowControl w:val="off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widowControl w:val="off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</w:p>
        </w:tc>
      </w:tr>
    </w:tbl>
    <w:p>
      <w:pPr>
        <w:pStyle w:val="598"/>
        <w:ind w:firstLine="720"/>
        <w:jc w:val="both"/>
        <w:widowControl/>
        <w:rPr>
          <w:rFonts w:eastAsia="Times New Roman"/>
          <w:lang w:eastAsia="ru-RU"/>
        </w:rPr>
      </w:pPr>
      <w:r/>
      <w:r/>
    </w:p>
    <w:sectPr>
      <w:footnotePr/>
      <w:endnotePr/>
      <w:type w:val="nextPage"/>
      <w:pgSz w:w="16838" w:h="11906" w:orient="landscape"/>
      <w:pgMar w:top="284" w:right="820" w:bottom="567" w:left="1134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Lucida Sans Unicode">
    <w:panose1 w:val="020B0602030504020204"/>
  </w:font>
  <w:font w:name="Arial">
    <w:panose1 w:val="020B0604020202020204"/>
  </w:font>
  <w:font w:name="NSimSun">
    <w:panose1 w:val="02010609030101010101"/>
  </w:font>
  <w:font w:name="Liberation Sans">
    <w:panose1 w:val="020B0604020202020204"/>
  </w:font>
  <w:font w:name="Lucida Sans">
    <w:panose1 w:val="020B0602030504020204"/>
  </w:font>
  <w:font w:name="Microsoft YaHei">
    <w:panose1 w:val="020B0503020204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Lucida Sans" w:eastAsia="NSimSun" w:hint="default"/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46">
    <w:name w:val="Table Grid"/>
    <w:basedOn w:val="3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3">
    <w:name w:val="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4">
    <w:name w:val="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5">
    <w:name w:val="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6">
    <w:name w:val="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7">
    <w:name w:val="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8">
    <w:name w:val="Bordered &amp; 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0">
    <w:name w:val="Bordered &amp; 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1">
    <w:name w:val="Bordered &amp; 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2">
    <w:name w:val="Bordered &amp; 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3">
    <w:name w:val="Bordered &amp; 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4">
    <w:name w:val="Bordered &amp; 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5">
    <w:name w:val="Bordered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598" w:default="1">
    <w:name w:val="Normal"/>
    <w:qFormat/>
    <w:pPr>
      <w:jc w:val="left"/>
      <w:spacing w:before="0" w:after="0"/>
      <w:widowControl w:val="off"/>
    </w:pPr>
    <w:rPr>
      <w:rFonts w:ascii="Times New Roman" w:hAnsi="Times New Roman" w:cs="Lucida Sans" w:eastAsia="Lucida Sans Unicode"/>
      <w:color w:val="auto"/>
      <w:sz w:val="24"/>
      <w:szCs w:val="24"/>
      <w:lang w:val="ru-RU" w:bidi="ar-SA" w:eastAsia="en-US"/>
    </w:rPr>
  </w:style>
  <w:style w:type="paragraph" w:styleId="599">
    <w:name w:val="Heading 1"/>
    <w:basedOn w:val="598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paragraph" w:styleId="600">
    <w:name w:val="Heading 2"/>
    <w:basedOn w:val="59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paragraph" w:styleId="601">
    <w:name w:val="Heading 3"/>
    <w:basedOn w:val="59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paragraph" w:styleId="602">
    <w:name w:val="Heading 4"/>
    <w:basedOn w:val="59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paragraph" w:styleId="603">
    <w:name w:val="Heading 5"/>
    <w:basedOn w:val="59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paragraph" w:styleId="604">
    <w:name w:val="Heading 6"/>
    <w:basedOn w:val="59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paragraph" w:styleId="605">
    <w:name w:val="Heading 7"/>
    <w:basedOn w:val="59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paragraph" w:styleId="606">
    <w:name w:val="Heading 8"/>
    <w:basedOn w:val="59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paragraph" w:styleId="607">
    <w:name w:val="Heading 9"/>
    <w:basedOn w:val="59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08">
    <w:name w:val="Heading 1 Char"/>
    <w:uiPriority w:val="9"/>
    <w:qFormat/>
    <w:rPr>
      <w:rFonts w:ascii="Arial" w:hAnsi="Arial" w:cs="Arial" w:eastAsia="Arial"/>
      <w:sz w:val="40"/>
      <w:szCs w:val="40"/>
    </w:rPr>
  </w:style>
  <w:style w:type="character" w:styleId="609">
    <w:name w:val="Heading 2 Char"/>
    <w:uiPriority w:val="9"/>
    <w:qFormat/>
    <w:rPr>
      <w:rFonts w:ascii="Arial" w:hAnsi="Arial" w:cs="Arial" w:eastAsia="Arial"/>
      <w:sz w:val="34"/>
    </w:rPr>
  </w:style>
  <w:style w:type="character" w:styleId="610">
    <w:name w:val="Heading 3 Char"/>
    <w:uiPriority w:val="9"/>
    <w:qFormat/>
    <w:rPr>
      <w:rFonts w:ascii="Arial" w:hAnsi="Arial" w:cs="Arial" w:eastAsia="Arial"/>
      <w:sz w:val="30"/>
      <w:szCs w:val="30"/>
    </w:rPr>
  </w:style>
  <w:style w:type="character" w:styleId="611">
    <w:name w:val="Heading 4 Char"/>
    <w:uiPriority w:val="9"/>
    <w:qFormat/>
    <w:rPr>
      <w:rFonts w:ascii="Arial" w:hAnsi="Arial" w:cs="Arial" w:eastAsia="Arial"/>
      <w:b/>
      <w:bCs/>
      <w:sz w:val="26"/>
      <w:szCs w:val="26"/>
    </w:rPr>
  </w:style>
  <w:style w:type="character" w:styleId="612">
    <w:name w:val="Heading 5 Char"/>
    <w:uiPriority w:val="9"/>
    <w:qFormat/>
    <w:rPr>
      <w:rFonts w:ascii="Arial" w:hAnsi="Arial" w:cs="Arial" w:eastAsia="Arial"/>
      <w:b/>
      <w:bCs/>
      <w:sz w:val="24"/>
      <w:szCs w:val="24"/>
    </w:rPr>
  </w:style>
  <w:style w:type="character" w:styleId="613">
    <w:name w:val="Heading 6 Char"/>
    <w:uiPriority w:val="9"/>
    <w:qFormat/>
    <w:rPr>
      <w:rFonts w:ascii="Arial" w:hAnsi="Arial" w:cs="Arial" w:eastAsia="Arial"/>
      <w:b/>
      <w:bCs/>
      <w:sz w:val="22"/>
      <w:szCs w:val="22"/>
    </w:rPr>
  </w:style>
  <w:style w:type="character" w:styleId="614">
    <w:name w:val="Heading 7 Char"/>
    <w:uiPriority w:val="9"/>
    <w:qFormat/>
    <w:rPr>
      <w:rFonts w:ascii="Arial" w:hAnsi="Arial" w:cs="Arial" w:eastAsia="Arial"/>
      <w:b/>
      <w:bCs/>
      <w:i/>
      <w:iCs/>
      <w:sz w:val="22"/>
      <w:szCs w:val="22"/>
    </w:rPr>
  </w:style>
  <w:style w:type="character" w:styleId="615">
    <w:name w:val="Heading 8 Char"/>
    <w:uiPriority w:val="9"/>
    <w:qFormat/>
    <w:rPr>
      <w:rFonts w:ascii="Arial" w:hAnsi="Arial" w:cs="Arial" w:eastAsia="Arial"/>
      <w:i/>
      <w:iCs/>
      <w:sz w:val="22"/>
      <w:szCs w:val="22"/>
    </w:rPr>
  </w:style>
  <w:style w:type="character" w:styleId="616">
    <w:name w:val="Heading 9 Char"/>
    <w:uiPriority w:val="9"/>
    <w:qFormat/>
    <w:rPr>
      <w:rFonts w:ascii="Arial" w:hAnsi="Arial" w:cs="Arial" w:eastAsia="Arial"/>
      <w:i/>
      <w:iCs/>
      <w:sz w:val="21"/>
      <w:szCs w:val="21"/>
    </w:rPr>
  </w:style>
  <w:style w:type="character" w:styleId="617">
    <w:name w:val="Title Char"/>
    <w:uiPriority w:val="10"/>
    <w:qFormat/>
    <w:rPr>
      <w:sz w:val="48"/>
      <w:szCs w:val="48"/>
    </w:rPr>
  </w:style>
  <w:style w:type="character" w:styleId="618">
    <w:name w:val="Subtitle Char"/>
    <w:uiPriority w:val="11"/>
    <w:qFormat/>
    <w:rPr>
      <w:sz w:val="24"/>
      <w:szCs w:val="24"/>
    </w:rPr>
  </w:style>
  <w:style w:type="character" w:styleId="619">
    <w:name w:val="Quote Char"/>
    <w:uiPriority w:val="29"/>
    <w:qFormat/>
    <w:rPr>
      <w:i/>
    </w:rPr>
  </w:style>
  <w:style w:type="character" w:styleId="620">
    <w:name w:val="Intense Quote Char"/>
    <w:uiPriority w:val="30"/>
    <w:qFormat/>
    <w:rPr>
      <w:i/>
    </w:rPr>
  </w:style>
  <w:style w:type="character" w:styleId="621">
    <w:name w:val="Header Char"/>
    <w:uiPriority w:val="99"/>
    <w:qFormat/>
  </w:style>
  <w:style w:type="character" w:styleId="622">
    <w:name w:val="Footer Char"/>
    <w:uiPriority w:val="99"/>
    <w:qFormat/>
  </w:style>
  <w:style w:type="character" w:styleId="623">
    <w:name w:val="Caption Char"/>
    <w:uiPriority w:val="99"/>
    <w:qFormat/>
  </w:style>
  <w:style w:type="character" w:styleId="624">
    <w:name w:val="Hyperlink"/>
    <w:uiPriority w:val="99"/>
    <w:unhideWhenUsed/>
    <w:rPr>
      <w:color w:val="0000FF" w:themeColor="hyperlink"/>
      <w:u w:val="single"/>
    </w:rPr>
  </w:style>
  <w:style w:type="character" w:styleId="625">
    <w:name w:val="Footnote Text Char"/>
    <w:uiPriority w:val="99"/>
    <w:qFormat/>
    <w:rPr>
      <w:sz w:val="18"/>
    </w:rPr>
  </w:style>
  <w:style w:type="character" w:styleId="626">
    <w:name w:val="footnote reference"/>
    <w:rPr>
      <w:vertAlign w:val="superscript"/>
    </w:rPr>
  </w:style>
  <w:style w:type="character" w:styleId="627">
    <w:name w:val="Footnote Characters"/>
    <w:uiPriority w:val="99"/>
    <w:unhideWhenUsed/>
    <w:qFormat/>
    <w:rPr>
      <w:vertAlign w:val="superscript"/>
    </w:rPr>
  </w:style>
  <w:style w:type="character" w:styleId="628">
    <w:name w:val="Endnote Text Char"/>
    <w:uiPriority w:val="99"/>
    <w:qFormat/>
    <w:rPr>
      <w:sz w:val="20"/>
    </w:rPr>
  </w:style>
  <w:style w:type="character" w:styleId="629">
    <w:name w:val="endnote reference"/>
    <w:rPr>
      <w:vertAlign w:val="superscript"/>
    </w:rPr>
  </w:style>
  <w:style w:type="character" w:styleId="630">
    <w:name w:val="Endnote Characters"/>
    <w:uiPriority w:val="99"/>
    <w:semiHidden/>
    <w:unhideWhenUsed/>
    <w:qFormat/>
    <w:rPr>
      <w:vertAlign w:val="superscript"/>
    </w:rPr>
  </w:style>
  <w:style w:type="character" w:styleId="631">
    <w:name w:val="Основной шрифт абзаца"/>
    <w:semiHidden/>
    <w:qFormat/>
  </w:style>
  <w:style w:type="character" w:styleId="632" w:default="1">
    <w:name w:val="Default Paragraph Font"/>
    <w:uiPriority w:val="1"/>
    <w:semiHidden/>
    <w:unhideWhenUsed/>
    <w:qFormat/>
  </w:style>
  <w:style w:type="paragraph" w:styleId="633">
    <w:name w:val="Заголовок"/>
    <w:basedOn w:val="598"/>
    <w:next w:val="634"/>
    <w:qFormat/>
    <w:pPr>
      <w:keepNext/>
      <w:spacing w:before="240" w:after="120"/>
    </w:pPr>
    <w:rPr>
      <w:rFonts w:ascii="Liberation Sans" w:hAnsi="Liberation Sans" w:cs="Lucida Sans" w:eastAsia="Microsoft YaHei"/>
      <w:sz w:val="28"/>
      <w:szCs w:val="28"/>
    </w:rPr>
  </w:style>
  <w:style w:type="paragraph" w:styleId="634">
    <w:name w:val="Body Text"/>
    <w:basedOn w:val="598"/>
    <w:pPr>
      <w:spacing w:before="0" w:after="140" w:line="276" w:lineRule="auto"/>
    </w:pPr>
  </w:style>
  <w:style w:type="paragraph" w:styleId="635">
    <w:name w:val="List"/>
    <w:basedOn w:val="634"/>
    <w:rPr>
      <w:rFonts w:cs="Lucida Sans"/>
    </w:rPr>
  </w:style>
  <w:style w:type="paragraph" w:styleId="636">
    <w:name w:val="Caption"/>
    <w:basedOn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637">
    <w:name w:val="Указатель"/>
    <w:basedOn w:val="598"/>
    <w:qFormat/>
    <w:pPr>
      <w:suppressLineNumbers/>
    </w:pPr>
    <w:rPr>
      <w:rFonts w:cs="Lucida Sans"/>
    </w:rPr>
  </w:style>
  <w:style w:type="paragraph" w:styleId="638">
    <w:name w:val="List Paragraph"/>
    <w:basedOn w:val="598"/>
    <w:uiPriority w:val="34"/>
    <w:qFormat/>
    <w:pPr>
      <w:contextualSpacing/>
      <w:ind w:left="720" w:firstLine="0"/>
      <w:spacing w:before="0" w:after="0"/>
    </w:pPr>
  </w:style>
  <w:style w:type="paragraph" w:styleId="639">
    <w:name w:val="No Spacing"/>
    <w:uiPriority w:val="1"/>
    <w:qFormat/>
    <w:pPr>
      <w:jc w:val="left"/>
      <w:spacing w:before="0" w:after="0" w:line="240" w:lineRule="auto"/>
      <w:widowControl/>
    </w:pPr>
    <w:rPr>
      <w:rFonts w:ascii="Times New Roman" w:hAnsi="Times New Roman" w:cs="Lucida Sans" w:eastAsia="NSimSun"/>
      <w:color w:val="auto"/>
      <w:sz w:val="20"/>
      <w:szCs w:val="20"/>
      <w:lang w:val="ru-RU" w:bidi="ar-SA" w:eastAsia="zh-CN"/>
    </w:rPr>
  </w:style>
  <w:style w:type="paragraph" w:styleId="640">
    <w:name w:val="Title"/>
    <w:basedOn w:val="598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641">
    <w:name w:val="Subtitle"/>
    <w:basedOn w:val="598"/>
    <w:uiPriority w:val="11"/>
    <w:qFormat/>
    <w:pPr>
      <w:spacing w:before="200" w:after="200"/>
    </w:pPr>
    <w:rPr>
      <w:sz w:val="24"/>
      <w:szCs w:val="24"/>
    </w:rPr>
  </w:style>
  <w:style w:type="paragraph" w:styleId="642">
    <w:name w:val="Quote"/>
    <w:basedOn w:val="598"/>
    <w:uiPriority w:val="29"/>
    <w:qFormat/>
    <w:pPr>
      <w:ind w:left="720" w:right="720" w:firstLine="0"/>
    </w:pPr>
    <w:rPr>
      <w:i/>
    </w:rPr>
  </w:style>
  <w:style w:type="paragraph" w:styleId="643">
    <w:name w:val="Intense Quote"/>
    <w:basedOn w:val="598"/>
    <w:uiPriority w:val="30"/>
    <w:qFormat/>
    <w:pPr>
      <w:ind w:left="720" w:right="720" w:firstLine="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644">
    <w:name w:val="Колонтитул"/>
    <w:basedOn w:val="598"/>
    <w:qFormat/>
  </w:style>
  <w:style w:type="paragraph" w:styleId="645">
    <w:name w:val="Header"/>
    <w:basedOn w:val="598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646">
    <w:name w:val="Footer"/>
    <w:basedOn w:val="598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647">
    <w:name w:val="footnote text"/>
    <w:basedOn w:val="598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648">
    <w:name w:val="endnote text"/>
    <w:basedOn w:val="598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649">
    <w:name w:val="toc 1"/>
    <w:basedOn w:val="598"/>
    <w:uiPriority w:val="39"/>
    <w:unhideWhenUsed/>
    <w:pPr>
      <w:ind w:left="0" w:right="0" w:firstLine="0"/>
      <w:spacing w:before="0" w:after="57"/>
    </w:pPr>
  </w:style>
  <w:style w:type="paragraph" w:styleId="650">
    <w:name w:val="toc 2"/>
    <w:basedOn w:val="598"/>
    <w:uiPriority w:val="39"/>
    <w:unhideWhenUsed/>
    <w:pPr>
      <w:ind w:left="283" w:right="0" w:firstLine="0"/>
      <w:spacing w:before="0" w:after="57"/>
    </w:pPr>
  </w:style>
  <w:style w:type="paragraph" w:styleId="651">
    <w:name w:val="toc 3"/>
    <w:basedOn w:val="598"/>
    <w:uiPriority w:val="39"/>
    <w:unhideWhenUsed/>
    <w:pPr>
      <w:ind w:left="567" w:right="0" w:firstLine="0"/>
      <w:spacing w:before="0" w:after="57"/>
    </w:pPr>
  </w:style>
  <w:style w:type="paragraph" w:styleId="652">
    <w:name w:val="toc 4"/>
    <w:basedOn w:val="598"/>
    <w:uiPriority w:val="39"/>
    <w:unhideWhenUsed/>
    <w:pPr>
      <w:ind w:left="850" w:right="0" w:firstLine="0"/>
      <w:spacing w:before="0" w:after="57"/>
    </w:pPr>
  </w:style>
  <w:style w:type="paragraph" w:styleId="653">
    <w:name w:val="toc 5"/>
    <w:basedOn w:val="598"/>
    <w:uiPriority w:val="39"/>
    <w:unhideWhenUsed/>
    <w:pPr>
      <w:ind w:left="1134" w:right="0" w:firstLine="0"/>
      <w:spacing w:before="0" w:after="57"/>
    </w:pPr>
  </w:style>
  <w:style w:type="paragraph" w:styleId="654">
    <w:name w:val="toc 6"/>
    <w:basedOn w:val="598"/>
    <w:uiPriority w:val="39"/>
    <w:unhideWhenUsed/>
    <w:pPr>
      <w:ind w:left="1417" w:right="0" w:firstLine="0"/>
      <w:spacing w:before="0" w:after="57"/>
    </w:pPr>
  </w:style>
  <w:style w:type="paragraph" w:styleId="655">
    <w:name w:val="toc 7"/>
    <w:basedOn w:val="598"/>
    <w:uiPriority w:val="39"/>
    <w:unhideWhenUsed/>
    <w:pPr>
      <w:ind w:left="1701" w:right="0" w:firstLine="0"/>
      <w:spacing w:before="0" w:after="57"/>
    </w:pPr>
  </w:style>
  <w:style w:type="paragraph" w:styleId="656">
    <w:name w:val="toc 8"/>
    <w:basedOn w:val="598"/>
    <w:uiPriority w:val="39"/>
    <w:unhideWhenUsed/>
    <w:pPr>
      <w:ind w:left="1984" w:right="0" w:firstLine="0"/>
      <w:spacing w:before="0" w:after="57"/>
    </w:pPr>
  </w:style>
  <w:style w:type="paragraph" w:styleId="657">
    <w:name w:val="toc 9"/>
    <w:basedOn w:val="598"/>
    <w:uiPriority w:val="39"/>
    <w:unhideWhenUsed/>
    <w:pPr>
      <w:ind w:left="2268" w:right="0" w:firstLine="0"/>
      <w:spacing w:before="0" w:after="57"/>
    </w:pPr>
  </w:style>
  <w:style w:type="paragraph" w:styleId="658">
    <w:name w:val="Index Heading"/>
    <w:basedOn w:val="633"/>
  </w:style>
  <w:style w:type="paragraph" w:styleId="659">
    <w:name w:val="TOC Heading"/>
    <w:uiPriority w:val="39"/>
    <w:unhideWhenUsed/>
    <w:pPr>
      <w:jc w:val="left"/>
      <w:spacing w:before="0" w:after="0"/>
      <w:widowControl/>
    </w:pPr>
    <w:rPr>
      <w:rFonts w:ascii="Times New Roman" w:hAnsi="Times New Roman" w:cs="Lucida Sans" w:eastAsia="NSimSun"/>
      <w:color w:val="auto"/>
      <w:sz w:val="20"/>
      <w:szCs w:val="20"/>
      <w:lang w:val="ru-RU" w:bidi="ar-SA" w:eastAsia="zh-CN"/>
    </w:rPr>
  </w:style>
  <w:style w:type="paragraph" w:styleId="660">
    <w:name w:val="table of figures"/>
    <w:basedOn w:val="598"/>
    <w:uiPriority w:val="99"/>
    <w:unhideWhenUsed/>
    <w:qFormat/>
    <w:pPr>
      <w:spacing w:before="0" w:after="0" w:afterAutospacing="0"/>
    </w:pPr>
  </w:style>
  <w:style w:type="paragraph" w:styleId="661">
    <w:name w:val="Схема документа"/>
    <w:basedOn w:val="598"/>
    <w:semiHidden/>
    <w:qFormat/>
    <w:pPr>
      <w:shd w:val="clear" w:color="auto" w:fill="000080"/>
    </w:pPr>
    <w:rPr>
      <w:rFonts w:ascii="Tahoma" w:hAnsi="Tahoma"/>
      <w:sz w:val="20"/>
      <w:szCs w:val="20"/>
    </w:rPr>
  </w:style>
  <w:style w:type="numbering" w:styleId="662">
    <w:name w:val="Нет списка"/>
    <w:semiHidden/>
    <w:qFormat/>
  </w:style>
  <w:style w:type="numbering" w:styleId="663" w:default="1">
    <w:name w:val="No List"/>
    <w:uiPriority w:val="99"/>
    <w:semiHidden/>
    <w:unhideWhenUsed/>
    <w:qFormat/>
  </w:style>
  <w:style w:type="table" w:styleId="113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Templat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ru-RU</dc:language>
  <cp:revision>3</cp:revision>
  <dcterms:modified xsi:type="dcterms:W3CDTF">2022-10-27T10:10:13Z</dcterms:modified>
</cp:coreProperties>
</file>